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4D2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年洛阳市文联下属事业单位招才引智岗位信息表</w:t>
      </w:r>
    </w:p>
    <w:bookmarkEnd w:id="0"/>
    <w:tbl>
      <w:tblPr>
        <w:tblStyle w:val="2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0"/>
        <w:gridCol w:w="750"/>
        <w:gridCol w:w="1035"/>
        <w:gridCol w:w="3262"/>
        <w:gridCol w:w="3773"/>
      </w:tblGrid>
      <w:tr w14:paraId="072D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专业（学科）或职称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6AE5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  <w:p w14:paraId="7EB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文艺家</w:t>
            </w:r>
          </w:p>
          <w:p w14:paraId="29C7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硕士及以上：1301艺术学（戏剧戏曲剧本创作、戏剧戏曲创作、戏剧戏曲表演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戏剧戏曲编导方向）；1354戏剧与影视（戏剧方向）；1355戏曲与曲艺；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副高级及以上职称：具有戏剧戏曲编剧、戏剧戏曲导演或戏剧戏曲演员方向的副高级及以上专业技术职称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报考人员为硕士学历的，1990年9月1日以后出生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荣获过省级及以上宣传思想文化系统奖项的，可适当放宽至1985年9月1日之后出生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报考人员为博士学历的，年龄放宽至1985年9月1日之后出生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报考人员为副高级及以上职称的，年龄放宽至1985年9月1日之后出生。</w:t>
            </w:r>
          </w:p>
        </w:tc>
      </w:tr>
      <w:tr w14:paraId="3CA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  <w:p w14:paraId="12F4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文艺家</w:t>
            </w:r>
          </w:p>
          <w:p w14:paraId="32B6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硕士及以上：1301艺术学（舞蹈表演、舞蹈编导、舞蹈教育方向）；1353舞蹈；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副高级及以上职称：具有舞蹈编剧、舞蹈导演或舞蹈演员方向的副高级及以上专业技术职称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FF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报考人员为硕士学历的，1990年9月1日以后出生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荣获过省级及以上宣传思想文化系统奖项的，可适当放宽至1985年9月1日之后出生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报考人员为博士学历的，年龄放宽至1985年9月1日之后出生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报考人员为副高级及以上职称的，年龄放宽至1985年9月1日之后出生。</w:t>
            </w:r>
          </w:p>
        </w:tc>
      </w:tr>
      <w:tr w14:paraId="0ABC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  <w:p w14:paraId="32BE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文艺家</w:t>
            </w:r>
          </w:p>
          <w:p w14:paraId="5A5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硕士及以上：1301艺术学（影视文学创作、广播电视编导、影视编剧、节目策划与创作方向）；1354戏剧与影视（影视创作方向）；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副高级及以上职称：具有影视编剧或影视剧本创作方向的副高级及以上专业技术职称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报考人员为硕士学历的，1990年9月1日以后出生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荣获过省级及以上宣传思想文化系统奖项的，可适当放宽至1985年9月1日之后出生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报考人员为博士学历的，年龄放宽至1985年9月1日之后出生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报考人员为副高级及以上职称的，年龄放宽至1985年9月1日之后出生。</w:t>
            </w:r>
          </w:p>
        </w:tc>
      </w:tr>
      <w:tr w14:paraId="33C3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</w:t>
            </w:r>
          </w:p>
          <w:p w14:paraId="6DAA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硕士及以上：05文学类（剧本创作和编辑出版类方向）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副高级及以上职称：具有出版系列（文学、戏剧类书目）、或文学创作方向的副高级及以上专业技术职称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硕士学历的，1990年9月1日以后出生，且曾在文学、影视、戏剧等期刊或学术CN期刊或主要文学网站发表过文学作品、剧本（或创作的剧本已被拍摄录制）及剧本相关的论文或评论累计不少于2部、或荣获过省级及以上宣传思想文化系统奖项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荣获过省级及以上宣传思想文化系统奖项的，可适当放宽至1985年9月1日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报考人员为博士学历的，年龄放宽至1985年9月1日之后出生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报考人员为副高级及以上职称的，年龄放宽至1985年9月1日之后出生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且具有2年及以上文学编辑或编剧经验。</w:t>
            </w:r>
          </w:p>
        </w:tc>
      </w:tr>
    </w:tbl>
    <w:p w14:paraId="71382C4F"/>
    <w:sectPr>
      <w:pgSz w:w="11906" w:h="16838"/>
      <w:pgMar w:top="1701" w:right="1417" w:bottom="1701" w:left="1417" w:header="851" w:footer="992" w:gutter="0"/>
      <w:pgNumType w:fmt="numberInDash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F3E5F"/>
    <w:rsid w:val="412C14B2"/>
    <w:rsid w:val="41BF3E5F"/>
    <w:rsid w:val="7FE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2025-09-22T07:54:00Z</dcterms:created>
  <dc:creator>木子易</dc:creator>
  <cp:lastModifiedBy>木子易</cp:lastModifiedBy>
  <dcterms:modified xsi:type="dcterms:W3CDTF">2025-09-22T07:54:57Z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3B543050E70642F7A07684942C04DE26_11</vt:lpwstr>
  </property>
  <property fmtid="{D5CDD505-2E9C-101B-9397-08002B2CF9AE}" pid="4" name="KSOTemplateDocerSaveRecord">
    <vt:lpwstr>eyJoZGlkIjoiY2MyMzdiNjY0YWYxM2NiYWU4ZDU2Njc1NzZkZjkzNDkiLCJ1c2VySWQiOiI2Njk3NzQwOTUifQ==</vt:lpwstr>
  </property>
</Properties>
</file>